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F8391" w14:textId="77777777" w:rsidR="0019590E" w:rsidRDefault="00BE53B8" w:rsidP="00311293">
      <w:pPr>
        <w:widowControl w:val="0"/>
        <w:tabs>
          <w:tab w:val="left" w:pos="709"/>
          <w:tab w:val="left" w:pos="7088"/>
        </w:tabs>
        <w:autoSpaceDE w:val="0"/>
        <w:autoSpaceDN w:val="0"/>
        <w:adjustRightInd w:val="0"/>
        <w:spacing w:before="240" w:after="240"/>
        <w:ind w:firstLine="720"/>
        <w:jc w:val="center"/>
        <w:rPr>
          <w:rFonts w:eastAsia="Times New Roman"/>
          <w:b/>
          <w:szCs w:val="24"/>
          <w:lang w:eastAsia="bg-BG"/>
        </w:rPr>
      </w:pPr>
      <w:r>
        <w:rPr>
          <w:rFonts w:eastAsia="Times New Roman"/>
          <w:b/>
          <w:szCs w:val="24"/>
          <w:lang w:eastAsia="bg-BG"/>
        </w:rPr>
        <w:t>ТЕХНИЧЕСКА СПЕЦИФИКАЦИЯ</w:t>
      </w:r>
    </w:p>
    <w:p w14:paraId="14872D2B" w14:textId="3DB5A75F" w:rsidR="0019590E" w:rsidRDefault="00284452" w:rsidP="00311293">
      <w:pPr>
        <w:widowControl w:val="0"/>
        <w:tabs>
          <w:tab w:val="left" w:pos="709"/>
          <w:tab w:val="left" w:pos="7088"/>
        </w:tabs>
        <w:autoSpaceDE w:val="0"/>
        <w:autoSpaceDN w:val="0"/>
        <w:adjustRightInd w:val="0"/>
        <w:spacing w:before="240" w:after="240"/>
        <w:ind w:firstLine="720"/>
        <w:jc w:val="center"/>
        <w:rPr>
          <w:b/>
        </w:rPr>
      </w:pPr>
      <w:r w:rsidRPr="00284452">
        <w:rPr>
          <w:rFonts w:eastAsia="Times New Roman"/>
          <w:b/>
          <w:szCs w:val="24"/>
          <w:lang w:eastAsia="bg-BG"/>
        </w:rPr>
        <w:t xml:space="preserve">ЗА </w:t>
      </w:r>
      <w:r>
        <w:rPr>
          <w:rFonts w:eastAsia="Times New Roman"/>
          <w:b/>
          <w:szCs w:val="24"/>
          <w:lang w:eastAsia="bg-BG"/>
        </w:rPr>
        <w:t>ВЪЗЛАГАНЕ</w:t>
      </w:r>
      <w:r w:rsidRPr="00284452">
        <w:rPr>
          <w:rFonts w:eastAsia="Times New Roman"/>
          <w:b/>
          <w:szCs w:val="24"/>
          <w:lang w:eastAsia="bg-BG"/>
        </w:rPr>
        <w:t xml:space="preserve"> НА ОБЩЕСТВЕНА ПОРЪЧКА</w:t>
      </w:r>
      <w:r>
        <w:rPr>
          <w:rFonts w:eastAsia="Times New Roman"/>
          <w:b/>
          <w:szCs w:val="24"/>
          <w:lang w:eastAsia="bg-BG"/>
        </w:rPr>
        <w:t xml:space="preserve"> С ПРЕДМЕТ</w:t>
      </w:r>
      <w:r w:rsidR="0019590E">
        <w:rPr>
          <w:rFonts w:eastAsia="Times New Roman"/>
          <w:b/>
          <w:szCs w:val="24"/>
          <w:lang w:eastAsia="bg-BG"/>
        </w:rPr>
        <w:br/>
      </w:r>
      <w:r w:rsidR="0019590E" w:rsidRPr="00362DF8">
        <w:rPr>
          <w:b/>
        </w:rPr>
        <w:t>„ИЗВЪНГАРАНЦИОННА ПОДДРЪЖКА</w:t>
      </w:r>
      <w:r>
        <w:rPr>
          <w:b/>
          <w:szCs w:val="24"/>
        </w:rPr>
        <w:t xml:space="preserve"> </w:t>
      </w:r>
      <w:r w:rsidR="0019590E" w:rsidRPr="00362DF8">
        <w:rPr>
          <w:b/>
          <w:szCs w:val="24"/>
        </w:rPr>
        <w:t>НА</w:t>
      </w:r>
      <w:r w:rsidR="0019590E" w:rsidRPr="00362DF8">
        <w:rPr>
          <w:b/>
        </w:rPr>
        <w:t xml:space="preserve"> СИСТЕМАТА „CA SERVICE DESK MANAGER“ И УСЛУГИ ПО ДОПЪЛНИТЕЛНА ПОДДРЪЖКА“</w:t>
      </w:r>
    </w:p>
    <w:p w14:paraId="20DC75C8" w14:textId="77777777" w:rsidR="00362DF8" w:rsidRPr="00362DF8" w:rsidRDefault="00362DF8" w:rsidP="00311293">
      <w:pPr>
        <w:widowControl w:val="0"/>
        <w:tabs>
          <w:tab w:val="left" w:pos="709"/>
          <w:tab w:val="left" w:pos="7088"/>
        </w:tabs>
        <w:autoSpaceDE w:val="0"/>
        <w:autoSpaceDN w:val="0"/>
        <w:adjustRightInd w:val="0"/>
        <w:spacing w:before="240" w:after="240"/>
        <w:ind w:firstLine="720"/>
        <w:jc w:val="center"/>
        <w:rPr>
          <w:rFonts w:eastAsia="Times New Roman"/>
          <w:b/>
          <w:szCs w:val="24"/>
          <w:lang w:eastAsia="bg-BG"/>
        </w:rPr>
      </w:pPr>
    </w:p>
    <w:p w14:paraId="449F451C" w14:textId="77777777" w:rsidR="0018603B" w:rsidRPr="0018603B" w:rsidRDefault="0018603B" w:rsidP="0018603B">
      <w:pPr>
        <w:numPr>
          <w:ilvl w:val="0"/>
          <w:numId w:val="12"/>
        </w:numPr>
        <w:rPr>
          <w:b/>
        </w:rPr>
      </w:pPr>
      <w:r w:rsidRPr="0018603B">
        <w:rPr>
          <w:b/>
        </w:rPr>
        <w:t>Въведение</w:t>
      </w:r>
    </w:p>
    <w:p w14:paraId="2D2B19A4" w14:textId="322F3514" w:rsidR="00707EFE" w:rsidRDefault="0018603B" w:rsidP="0018603B">
      <w:pPr>
        <w:spacing w:line="360" w:lineRule="auto"/>
        <w:rPr>
          <w:szCs w:val="24"/>
        </w:rPr>
      </w:pPr>
      <w:r>
        <w:rPr>
          <w:szCs w:val="24"/>
        </w:rPr>
        <w:t xml:space="preserve">Услугите, </w:t>
      </w:r>
      <w:r w:rsidR="00614667">
        <w:rPr>
          <w:szCs w:val="24"/>
        </w:rPr>
        <w:t>предмет</w:t>
      </w:r>
      <w:r>
        <w:rPr>
          <w:szCs w:val="24"/>
        </w:rPr>
        <w:t xml:space="preserve"> на обществената поръчка</w:t>
      </w:r>
      <w:r w:rsidR="00614667">
        <w:rPr>
          <w:szCs w:val="24"/>
        </w:rPr>
        <w:t xml:space="preserve"> включват извънгаранционна поддръжка на системата „</w:t>
      </w:r>
      <w:r w:rsidR="00614667">
        <w:rPr>
          <w:szCs w:val="24"/>
          <w:lang w:val="en-US"/>
        </w:rPr>
        <w:t>CA Service Desk Manager”</w:t>
      </w:r>
      <w:r w:rsidR="00614667">
        <w:rPr>
          <w:szCs w:val="24"/>
        </w:rPr>
        <w:t xml:space="preserve"> и допълнителна поддръжка, която от своя страна включва услуги по внедряване и миграция, както и услуги по възстановяване след инциденти и проблеми.</w:t>
      </w:r>
      <w:r>
        <w:rPr>
          <w:szCs w:val="24"/>
        </w:rPr>
        <w:t xml:space="preserve"> </w:t>
      </w:r>
    </w:p>
    <w:p w14:paraId="5FBE0B88" w14:textId="77777777" w:rsidR="00707EFE" w:rsidRPr="0018603B" w:rsidRDefault="00707EFE" w:rsidP="00707EFE">
      <w:pPr>
        <w:numPr>
          <w:ilvl w:val="0"/>
          <w:numId w:val="12"/>
        </w:numPr>
        <w:rPr>
          <w:b/>
        </w:rPr>
      </w:pPr>
      <w:r>
        <w:rPr>
          <w:b/>
        </w:rPr>
        <w:t xml:space="preserve">Услуги </w:t>
      </w:r>
      <w:r w:rsidR="00A93E00">
        <w:rPr>
          <w:b/>
        </w:rPr>
        <w:t>по извънгаранционна поддръжка</w:t>
      </w:r>
    </w:p>
    <w:p w14:paraId="18CD579F" w14:textId="77777777" w:rsidR="00443D5C" w:rsidRPr="00443D5C" w:rsidRDefault="00707EFE" w:rsidP="00707EFE">
      <w:pPr>
        <w:pStyle w:val="1"/>
        <w:numPr>
          <w:ilvl w:val="0"/>
          <w:numId w:val="0"/>
        </w:numPr>
        <w:spacing w:line="360" w:lineRule="auto"/>
        <w:rPr>
          <w:lang w:val="en-US"/>
        </w:rPr>
      </w:pPr>
      <w:r w:rsidRPr="00707EFE">
        <w:t xml:space="preserve">Услугата </w:t>
      </w:r>
      <w:r w:rsidR="00D77D72" w:rsidRPr="00707EFE">
        <w:t xml:space="preserve">„Извънгаранционна поддръжка на системата „CA Service Desk </w:t>
      </w:r>
      <w:r w:rsidR="00D77D72" w:rsidRPr="00707EFE">
        <w:rPr>
          <w:lang w:val="en-GB"/>
        </w:rPr>
        <w:t>Manager</w:t>
      </w:r>
      <w:r w:rsidR="00D77D72" w:rsidRPr="00707EFE">
        <w:t xml:space="preserve">“, </w:t>
      </w:r>
      <w:r w:rsidRPr="00707EFE">
        <w:t xml:space="preserve">трябва </w:t>
      </w:r>
      <w:r w:rsidR="0019590E">
        <w:t xml:space="preserve">да отговаря на </w:t>
      </w:r>
      <w:r>
        <w:t>условията на станда</w:t>
      </w:r>
      <w:r w:rsidR="0019590E">
        <w:t xml:space="preserve">ртна поддръжка, посочени от производителя и подробно </w:t>
      </w:r>
      <w:r>
        <w:t>описани в</w:t>
      </w:r>
      <w:r w:rsidR="0019590E">
        <w:t xml:space="preserve"> следните документи</w:t>
      </w:r>
      <w:r w:rsidR="00443D5C">
        <w:t>:</w:t>
      </w:r>
    </w:p>
    <w:p w14:paraId="18A721DE" w14:textId="77777777" w:rsidR="000E224D" w:rsidRPr="00443D5C" w:rsidRDefault="00707EFE" w:rsidP="00B320B8">
      <w:pPr>
        <w:pStyle w:val="2"/>
        <w:numPr>
          <w:ilvl w:val="0"/>
          <w:numId w:val="6"/>
        </w:numPr>
        <w:spacing w:line="360" w:lineRule="auto"/>
        <w:ind w:left="709" w:hanging="283"/>
        <w:jc w:val="left"/>
        <w:rPr>
          <w:lang w:val="en-US"/>
        </w:rPr>
      </w:pPr>
      <w:r>
        <w:t xml:space="preserve">Общо описание на поддръжката – </w:t>
      </w:r>
      <w:r w:rsidR="000E224D">
        <w:t>„</w:t>
      </w:r>
      <w:r w:rsidR="000E224D" w:rsidRPr="00443D5C">
        <w:rPr>
          <w:lang w:val="en-US"/>
        </w:rPr>
        <w:t>CA Support Overview</w:t>
      </w:r>
      <w:r w:rsidR="000E224D">
        <w:t xml:space="preserve">“ от 29.01.2015, достъпен на адрес </w:t>
      </w:r>
      <w:hyperlink r:id="rId8" w:history="1">
        <w:r w:rsidR="000E224D" w:rsidRPr="006317D4">
          <w:rPr>
            <w:rStyle w:val="Hyperlink"/>
          </w:rPr>
          <w:t>http://www.ca.com/~/media/files/ServicesBriefs/CA-Support-Overview.pdf</w:t>
        </w:r>
      </w:hyperlink>
      <w:r w:rsidR="000E224D">
        <w:t xml:space="preserve"> </w:t>
      </w:r>
    </w:p>
    <w:p w14:paraId="5ECAF07A" w14:textId="77777777" w:rsidR="008334A1" w:rsidRPr="000E224D" w:rsidRDefault="00707EFE" w:rsidP="00B320B8">
      <w:pPr>
        <w:pStyle w:val="2"/>
        <w:numPr>
          <w:ilvl w:val="0"/>
          <w:numId w:val="6"/>
        </w:numPr>
        <w:spacing w:line="360" w:lineRule="auto"/>
        <w:ind w:left="709" w:hanging="283"/>
        <w:jc w:val="left"/>
        <w:rPr>
          <w:lang w:val="en-US"/>
        </w:rPr>
      </w:pPr>
      <w:r>
        <w:t xml:space="preserve">Правила и условия за поддръжката – </w:t>
      </w:r>
      <w:r w:rsidR="000D4AD6">
        <w:t>„</w:t>
      </w:r>
      <w:r w:rsidR="000D4AD6" w:rsidRPr="000D4AD6">
        <w:t>CA Support Policy and Terms</w:t>
      </w:r>
      <w:r w:rsidR="000D4AD6">
        <w:t>“</w:t>
      </w:r>
      <w:r w:rsidR="00443D5C">
        <w:t xml:space="preserve"> от </w:t>
      </w:r>
      <w:r w:rsidR="00E22529">
        <w:rPr>
          <w:lang w:val="en-US"/>
        </w:rPr>
        <w:t>6</w:t>
      </w:r>
      <w:r w:rsidR="00E22529">
        <w:t>.06.</w:t>
      </w:r>
      <w:r w:rsidR="00443D5C" w:rsidRPr="00443D5C">
        <w:t>2014</w:t>
      </w:r>
      <w:r w:rsidR="00443D5C">
        <w:t xml:space="preserve">, достъпен на адрес </w:t>
      </w:r>
      <w:hyperlink r:id="rId9" w:history="1">
        <w:r w:rsidR="00443D5C" w:rsidRPr="006317D4">
          <w:rPr>
            <w:rStyle w:val="Hyperlink"/>
          </w:rPr>
          <w:t>https://support.ca.com/phpdocs/0/common/techsupp_policy.pdf</w:t>
        </w:r>
      </w:hyperlink>
    </w:p>
    <w:p w14:paraId="2A786651" w14:textId="77777777" w:rsidR="000E224D" w:rsidRPr="000E224D" w:rsidRDefault="00707EFE" w:rsidP="00B320B8">
      <w:pPr>
        <w:pStyle w:val="2"/>
        <w:numPr>
          <w:ilvl w:val="0"/>
          <w:numId w:val="6"/>
        </w:numPr>
        <w:spacing w:line="360" w:lineRule="auto"/>
        <w:ind w:left="709" w:hanging="283"/>
        <w:jc w:val="left"/>
        <w:rPr>
          <w:lang w:val="en-US"/>
        </w:rPr>
      </w:pPr>
      <w:r>
        <w:t xml:space="preserve">Напътствия и указания за работа с инструментите по поддръжка – </w:t>
      </w:r>
      <w:r w:rsidR="000E224D">
        <w:t>„</w:t>
      </w:r>
      <w:r w:rsidR="000E224D" w:rsidRPr="000E224D">
        <w:t>Working with CA Support</w:t>
      </w:r>
      <w:r w:rsidR="00E22529">
        <w:t xml:space="preserve">“ от 03.2015, достъпен на </w:t>
      </w:r>
      <w:r w:rsidR="000E224D">
        <w:t>адрес</w:t>
      </w:r>
      <w:r w:rsidR="00E22529">
        <w:t>:</w:t>
      </w:r>
      <w:r w:rsidR="000E224D">
        <w:t xml:space="preserve"> </w:t>
      </w:r>
      <w:hyperlink r:id="rId10" w:history="1">
        <w:r w:rsidR="000E224D" w:rsidRPr="006317D4">
          <w:rPr>
            <w:rStyle w:val="Hyperlink"/>
          </w:rPr>
          <w:t>https://support.ca.com/phpdocs/0/common/working_with_ca_support.pdf</w:t>
        </w:r>
      </w:hyperlink>
      <w:r w:rsidR="000E224D">
        <w:t xml:space="preserve"> </w:t>
      </w:r>
    </w:p>
    <w:p w14:paraId="67F9FDC7" w14:textId="51985705" w:rsidR="000E224D" w:rsidRDefault="00B320B8" w:rsidP="00B320B8">
      <w:pPr>
        <w:pStyle w:val="1"/>
        <w:numPr>
          <w:ilvl w:val="0"/>
          <w:numId w:val="0"/>
        </w:numPr>
        <w:spacing w:line="360" w:lineRule="auto"/>
      </w:pPr>
      <w:r>
        <w:t xml:space="preserve">Тези документи </w:t>
      </w:r>
      <w:r w:rsidR="00A93E00">
        <w:t>представляват</w:t>
      </w:r>
      <w:r>
        <w:t xml:space="preserve"> неразделна част от документацията по обществената поръчка. </w:t>
      </w:r>
      <w:r w:rsidR="00CE5CDE">
        <w:t>П</w:t>
      </w:r>
      <w:r w:rsidR="000E224D">
        <w:t>ри наличие на по-нова версия</w:t>
      </w:r>
      <w:r w:rsidR="00A93E00">
        <w:t xml:space="preserve"> на</w:t>
      </w:r>
      <w:r w:rsidR="000E224D">
        <w:t xml:space="preserve"> </w:t>
      </w:r>
      <w:r w:rsidR="00A93E00">
        <w:t>всеки от тях,</w:t>
      </w:r>
      <w:r w:rsidR="000E224D">
        <w:t xml:space="preserve"> ще </w:t>
      </w:r>
      <w:r w:rsidR="00707EFE">
        <w:t xml:space="preserve">се </w:t>
      </w:r>
      <w:r w:rsidR="000E224D">
        <w:t>прил</w:t>
      </w:r>
      <w:r w:rsidR="00707EFE">
        <w:t>ага</w:t>
      </w:r>
      <w:r w:rsidR="00CC0D75">
        <w:t xml:space="preserve"> </w:t>
      </w:r>
      <w:r w:rsidR="00A93E00">
        <w:t>тя на мястото на посочената.</w:t>
      </w:r>
    </w:p>
    <w:p w14:paraId="16E6A886" w14:textId="7659DA19" w:rsidR="00F743F5" w:rsidRDefault="00AD266D" w:rsidP="00F743F5">
      <w:pPr>
        <w:pStyle w:val="1"/>
        <w:numPr>
          <w:ilvl w:val="0"/>
          <w:numId w:val="0"/>
        </w:numPr>
        <w:spacing w:line="360" w:lineRule="auto"/>
        <w:rPr>
          <w:i/>
        </w:rPr>
      </w:pPr>
      <w:r>
        <w:t>Необходимо е УЧАСТНИКЪТ да бъде оторизиран партньор на</w:t>
      </w:r>
      <w:r w:rsidR="002C782E">
        <w:rPr>
          <w:lang w:val="en-US"/>
        </w:rPr>
        <w:t xml:space="preserve"> </w:t>
      </w:r>
      <w:r w:rsidR="002C782E">
        <w:t>„</w:t>
      </w:r>
      <w:r w:rsidR="002C782E">
        <w:rPr>
          <w:lang w:val="en-US"/>
        </w:rPr>
        <w:t xml:space="preserve">Computer Associates” </w:t>
      </w:r>
      <w:r>
        <w:t xml:space="preserve"> , имащ правото да продава продукти и услуги от фамилията </w:t>
      </w:r>
      <w:r>
        <w:rPr>
          <w:lang w:val="en-US"/>
        </w:rPr>
        <w:t>“Service Desk”</w:t>
      </w:r>
      <w:r>
        <w:t>за България.</w:t>
      </w:r>
      <w:r w:rsidR="00F743F5">
        <w:t xml:space="preserve"> </w:t>
      </w:r>
      <w:r w:rsidR="00F743F5" w:rsidRPr="003F36F4">
        <w:t>(</w:t>
      </w:r>
      <w:r w:rsidR="00CE5CDE">
        <w:rPr>
          <w:i/>
        </w:rPr>
        <w:t>Избраният у</w:t>
      </w:r>
      <w:r w:rsidR="00F743F5" w:rsidRPr="003F36F4">
        <w:rPr>
          <w:i/>
        </w:rPr>
        <w:t>частник следва да представи документ, удостоверяващ това</w:t>
      </w:r>
      <w:r w:rsidR="00517E55" w:rsidRPr="003F36F4">
        <w:rPr>
          <w:i/>
          <w:lang w:val="en-US"/>
        </w:rPr>
        <w:t xml:space="preserve"> </w:t>
      </w:r>
      <w:r w:rsidR="00517E55" w:rsidRPr="003F36F4">
        <w:rPr>
          <w:i/>
        </w:rPr>
        <w:t>към момента на сключване на договора</w:t>
      </w:r>
      <w:r w:rsidR="00F743F5" w:rsidRPr="003F36F4">
        <w:rPr>
          <w:i/>
        </w:rPr>
        <w:t>).</w:t>
      </w:r>
    </w:p>
    <w:p w14:paraId="175E79BC" w14:textId="077C3B7F" w:rsidR="00F743F5" w:rsidRDefault="00F743F5" w:rsidP="003F5BAF">
      <w:pPr>
        <w:spacing w:line="360" w:lineRule="auto"/>
        <w:ind w:firstLine="0"/>
        <w:rPr>
          <w:i/>
        </w:rPr>
      </w:pPr>
      <w:r>
        <w:t>Във връзка с изпълнението на услугите по проекта на договора</w:t>
      </w:r>
      <w:r w:rsidR="00CE5CDE">
        <w:t>,</w:t>
      </w:r>
      <w:r>
        <w:t xml:space="preserve"> УЧАСТНИКЪТ следва да разполага със специалисти, сертифицирани от производителя за това. </w:t>
      </w:r>
    </w:p>
    <w:p w14:paraId="1E70D84C" w14:textId="77777777" w:rsidR="00F743F5" w:rsidRDefault="00F743F5" w:rsidP="00F743F5">
      <w:pPr>
        <w:spacing w:line="360" w:lineRule="auto"/>
      </w:pPr>
    </w:p>
    <w:p w14:paraId="5E402F81" w14:textId="77777777" w:rsidR="00B320B8" w:rsidRPr="0018603B" w:rsidRDefault="00B320B8" w:rsidP="00B320B8">
      <w:pPr>
        <w:keepNext/>
        <w:numPr>
          <w:ilvl w:val="0"/>
          <w:numId w:val="12"/>
        </w:numPr>
        <w:ind w:left="357" w:hanging="357"/>
        <w:rPr>
          <w:b/>
        </w:rPr>
      </w:pPr>
      <w:r>
        <w:rPr>
          <w:b/>
        </w:rPr>
        <w:t xml:space="preserve">Услуги </w:t>
      </w:r>
      <w:r w:rsidR="00A93E00">
        <w:rPr>
          <w:b/>
        </w:rPr>
        <w:t>по допълнителна поддръжка</w:t>
      </w:r>
    </w:p>
    <w:p w14:paraId="21D61156" w14:textId="77777777" w:rsidR="00117C33" w:rsidRDefault="00B320B8" w:rsidP="00E22529">
      <w:pPr>
        <w:spacing w:line="360" w:lineRule="auto"/>
      </w:pPr>
      <w:r w:rsidRPr="00B320B8">
        <w:t xml:space="preserve">Услугите </w:t>
      </w:r>
      <w:r w:rsidR="00D77D72" w:rsidRPr="00B320B8">
        <w:t xml:space="preserve">по </w:t>
      </w:r>
      <w:r w:rsidRPr="00B320B8">
        <w:t xml:space="preserve">допълнителна поддръжка </w:t>
      </w:r>
      <w:r>
        <w:t>включват</w:t>
      </w:r>
      <w:r w:rsidR="00A93E00">
        <w:t>:</w:t>
      </w:r>
      <w:r>
        <w:t xml:space="preserve"> </w:t>
      </w:r>
    </w:p>
    <w:p w14:paraId="5F6B4EAA" w14:textId="0C7D42D1" w:rsidR="00A93E00" w:rsidRDefault="00A93E00" w:rsidP="00E22529">
      <w:pPr>
        <w:spacing w:line="360" w:lineRule="auto"/>
      </w:pPr>
      <w:r>
        <w:t xml:space="preserve">1.1. </w:t>
      </w:r>
      <w:r w:rsidR="00E22529">
        <w:t xml:space="preserve">услуги по внедряване и миграция – </w:t>
      </w:r>
      <w:r>
        <w:t>внедряване</w:t>
      </w:r>
      <w:r w:rsidR="00E22529">
        <w:t xml:space="preserve"> на допълнителна функционалност, </w:t>
      </w:r>
      <w:r>
        <w:t>извършване на промени в налична</w:t>
      </w:r>
      <w:r w:rsidR="00E22529">
        <w:t>та</w:t>
      </w:r>
      <w:r>
        <w:t xml:space="preserve"> инсталация и миграция от текущата версия до последната налична за софтуера към момента на изпълнение</w:t>
      </w:r>
      <w:r w:rsidR="00E22529">
        <w:t>;</w:t>
      </w:r>
    </w:p>
    <w:p w14:paraId="32B5B1B1" w14:textId="7010F45B" w:rsidR="00D77D72" w:rsidRDefault="00117C33" w:rsidP="00A93E00">
      <w:pPr>
        <w:spacing w:line="360" w:lineRule="auto"/>
      </w:pPr>
      <w:r>
        <w:t>1.2</w:t>
      </w:r>
      <w:r w:rsidR="00A93E00">
        <w:t>. услуги при възстановяване след инциденти</w:t>
      </w:r>
      <w:r w:rsidR="00CE5CDE">
        <w:t xml:space="preserve"> и</w:t>
      </w:r>
      <w:r w:rsidR="00A93E00">
        <w:t xml:space="preserve"> проблеми;</w:t>
      </w:r>
    </w:p>
    <w:p w14:paraId="7F6E9648" w14:textId="77777777" w:rsidR="00A93E00" w:rsidRPr="00B320B8" w:rsidRDefault="00A93E00" w:rsidP="00A93E00">
      <w:pPr>
        <w:spacing w:line="360" w:lineRule="auto"/>
        <w:rPr>
          <w:lang w:val="en-US"/>
        </w:rPr>
      </w:pPr>
    </w:p>
    <w:p w14:paraId="50885732" w14:textId="77777777" w:rsidR="000E224D" w:rsidRDefault="00362DF8" w:rsidP="00362DF8">
      <w:pPr>
        <w:pStyle w:val="2"/>
        <w:numPr>
          <w:ilvl w:val="0"/>
          <w:numId w:val="17"/>
        </w:numPr>
        <w:rPr>
          <w:b/>
        </w:rPr>
      </w:pPr>
      <w:r>
        <w:rPr>
          <w:b/>
        </w:rPr>
        <w:t>У</w:t>
      </w:r>
      <w:r w:rsidR="00B320B8" w:rsidRPr="00C12E43">
        <w:rPr>
          <w:b/>
        </w:rPr>
        <w:t>слуги</w:t>
      </w:r>
      <w:r w:rsidR="00B320B8">
        <w:rPr>
          <w:b/>
        </w:rPr>
        <w:t>те</w:t>
      </w:r>
      <w:r w:rsidR="00B320B8" w:rsidRPr="00C12E43">
        <w:rPr>
          <w:b/>
        </w:rPr>
        <w:t xml:space="preserve"> </w:t>
      </w:r>
      <w:r w:rsidR="000E224D" w:rsidRPr="00C12E43">
        <w:rPr>
          <w:b/>
        </w:rPr>
        <w:t>по внедряване и миграция</w:t>
      </w:r>
      <w:r>
        <w:rPr>
          <w:b/>
        </w:rPr>
        <w:t xml:space="preserve"> – изисквания</w:t>
      </w:r>
      <w:r w:rsidR="00B320B8">
        <w:rPr>
          <w:b/>
        </w:rPr>
        <w:t>:</w:t>
      </w:r>
    </w:p>
    <w:p w14:paraId="1985E991" w14:textId="77777777" w:rsidR="000E224D" w:rsidRDefault="00362DF8" w:rsidP="00B320B8">
      <w:pPr>
        <w:spacing w:line="360" w:lineRule="auto"/>
      </w:pPr>
      <w:r>
        <w:t xml:space="preserve">При наличие на версия на </w:t>
      </w:r>
      <w:r w:rsidR="000E224D">
        <w:t>системата, която е по-висока от използваната в момента</w:t>
      </w:r>
      <w:r>
        <w:t>,</w:t>
      </w:r>
      <w:r w:rsidR="000E224D">
        <w:t xml:space="preserve"> ВЪЗЛОЖИТЕЛЯТ може да поиска предоставянето на </w:t>
      </w:r>
      <w:r w:rsidR="00CC0D75">
        <w:t>услуга по внедряване и миграция.</w:t>
      </w:r>
    </w:p>
    <w:p w14:paraId="507EF76F" w14:textId="77777777" w:rsidR="00CC0D75" w:rsidRPr="000E224D" w:rsidRDefault="00CC0D75" w:rsidP="00B320B8">
      <w:pPr>
        <w:spacing w:line="360" w:lineRule="auto"/>
      </w:pPr>
      <w:r>
        <w:t xml:space="preserve">При възникване на нужда от предоставяне на </w:t>
      </w:r>
      <w:r w:rsidR="00362DF8">
        <w:t>съответните услуги</w:t>
      </w:r>
      <w:r>
        <w:t xml:space="preserve">, ВЪЗЛОЖИТЕЛЯТ изпраща подробно искане с описание на работата, а </w:t>
      </w:r>
      <w:r w:rsidR="00362DF8">
        <w:t>избраният ИЗПЪЛНИТЕЛ</w:t>
      </w:r>
      <w:r>
        <w:t xml:space="preserve"> връща оферта, включваща подробно описание на дейностите, тяхната продължителност и началната дата за започване на работата. ВЪЗЛОЖИТЕЛЯТ потвърждава офертата и с това услугите се считат за възложени.</w:t>
      </w:r>
    </w:p>
    <w:p w14:paraId="31E74913" w14:textId="77777777" w:rsidR="00CC0D75" w:rsidRDefault="00CC0D75" w:rsidP="00B320B8">
      <w:pPr>
        <w:spacing w:line="360" w:lineRule="auto"/>
      </w:pPr>
      <w:r>
        <w:t>Внедряването е сложен процес, който може да изисква допълнителни ресурси като</w:t>
      </w:r>
      <w:r w:rsidR="00362DF8">
        <w:t xml:space="preserve"> хардуер и системен софтуер, кои</w:t>
      </w:r>
      <w:r>
        <w:t xml:space="preserve">то </w:t>
      </w:r>
      <w:r w:rsidR="00E63917">
        <w:t>ВЪЗЛОЖИТЕЛЯ</w:t>
      </w:r>
      <w:r w:rsidR="00362DF8">
        <w:t>Т</w:t>
      </w:r>
      <w:r>
        <w:t xml:space="preserve"> трябва да подготви. </w:t>
      </w:r>
    </w:p>
    <w:p w14:paraId="10EB1906" w14:textId="3D2BE2D8" w:rsidR="00CC0D75" w:rsidRDefault="00CC0D75" w:rsidP="00B320B8">
      <w:pPr>
        <w:spacing w:line="360" w:lineRule="auto"/>
      </w:pPr>
      <w:r>
        <w:t>Описанието на изискуемите</w:t>
      </w:r>
      <w:r w:rsidR="00362DF8">
        <w:t xml:space="preserve"> допълнителни</w:t>
      </w:r>
      <w:r>
        <w:t xml:space="preserve"> ресурси трябва да бъде част от офертата на </w:t>
      </w:r>
      <w:r w:rsidR="006E69FE">
        <w:t>избрания ИЗПЪЛНИТЕЛ</w:t>
      </w:r>
      <w:r>
        <w:t>.</w:t>
      </w:r>
    </w:p>
    <w:p w14:paraId="262BBAB9" w14:textId="77777777" w:rsidR="000E224D" w:rsidRPr="00B320B8" w:rsidRDefault="00362DF8" w:rsidP="00362DF8">
      <w:pPr>
        <w:pStyle w:val="2"/>
        <w:numPr>
          <w:ilvl w:val="0"/>
          <w:numId w:val="17"/>
        </w:numPr>
        <w:rPr>
          <w:b/>
        </w:rPr>
      </w:pPr>
      <w:r>
        <w:rPr>
          <w:b/>
        </w:rPr>
        <w:t>У</w:t>
      </w:r>
      <w:r w:rsidR="00B320B8" w:rsidRPr="00C12E43">
        <w:rPr>
          <w:b/>
        </w:rPr>
        <w:t>слуги</w:t>
      </w:r>
      <w:r w:rsidR="00B320B8">
        <w:rPr>
          <w:b/>
        </w:rPr>
        <w:t>те</w:t>
      </w:r>
      <w:r w:rsidR="00B320B8" w:rsidRPr="00C12E43">
        <w:rPr>
          <w:b/>
        </w:rPr>
        <w:t xml:space="preserve"> по</w:t>
      </w:r>
      <w:r w:rsidR="000E224D" w:rsidRPr="00C12E43">
        <w:rPr>
          <w:b/>
        </w:rPr>
        <w:t xml:space="preserve"> възстановяване след инциденти и проблеми</w:t>
      </w:r>
      <w:r>
        <w:rPr>
          <w:b/>
        </w:rPr>
        <w:t xml:space="preserve"> – изисквания:</w:t>
      </w:r>
    </w:p>
    <w:p w14:paraId="76A6FFE1" w14:textId="08084847" w:rsidR="00C12E43" w:rsidRPr="00C12E43" w:rsidRDefault="00C12E43" w:rsidP="00B320B8">
      <w:pPr>
        <w:spacing w:line="360" w:lineRule="auto"/>
      </w:pPr>
      <w:r w:rsidRPr="00C12E43">
        <w:t xml:space="preserve">В техническото предложение </w:t>
      </w:r>
      <w:r w:rsidR="00E22529">
        <w:t>УЧАСТНИКЪТ</w:t>
      </w:r>
      <w:r w:rsidRPr="00C12E43">
        <w:t xml:space="preserve"> трябва да посочи следните елементи по отношение на работата си </w:t>
      </w:r>
      <w:r w:rsidR="00005210">
        <w:t>при настъпването на</w:t>
      </w:r>
      <w:r w:rsidRPr="00C12E43">
        <w:t xml:space="preserve"> инциденти и проблеми</w:t>
      </w:r>
      <w:r>
        <w:t>:</w:t>
      </w:r>
    </w:p>
    <w:p w14:paraId="7FB34F2C" w14:textId="6DF28541" w:rsidR="00D975ED" w:rsidRPr="00D55765" w:rsidRDefault="00D55765" w:rsidP="00B320B8">
      <w:pPr>
        <w:pStyle w:val="2"/>
        <w:numPr>
          <w:ilvl w:val="0"/>
          <w:numId w:val="10"/>
        </w:numPr>
        <w:spacing w:line="360" w:lineRule="auto"/>
        <w:ind w:left="426"/>
        <w:rPr>
          <w:b/>
        </w:rPr>
      </w:pPr>
      <w:r w:rsidRPr="00D55765">
        <w:rPr>
          <w:b/>
        </w:rPr>
        <w:t>Уведомяване</w:t>
      </w:r>
      <w:r w:rsidRPr="00D55765">
        <w:t xml:space="preserve"> – да бъде посочена информация</w:t>
      </w:r>
      <w:r w:rsidR="001B674A">
        <w:t xml:space="preserve"> за контакт</w:t>
      </w:r>
      <w:r w:rsidRPr="00D55765">
        <w:t xml:space="preserve"> </w:t>
      </w:r>
      <w:r w:rsidR="001B674A">
        <w:t>с УЧАСТНИКА в обичайното</w:t>
      </w:r>
      <w:r w:rsidRPr="00D55765">
        <w:t xml:space="preserve"> работн</w:t>
      </w:r>
      <w:r w:rsidR="001B674A">
        <w:t>о време</w:t>
      </w:r>
      <w:r w:rsidRPr="00D55765">
        <w:t xml:space="preserve"> и извън </w:t>
      </w:r>
      <w:r w:rsidR="001B674A">
        <w:t>него</w:t>
      </w:r>
      <w:r w:rsidR="00094BA1">
        <w:t xml:space="preserve"> и да бъде установен нормален и експресен начин на </w:t>
      </w:r>
      <w:r w:rsidR="008F7B61">
        <w:t>уведомяване;</w:t>
      </w:r>
    </w:p>
    <w:p w14:paraId="1CF155AE" w14:textId="6B77836D" w:rsidR="00D55765" w:rsidRDefault="00D55765" w:rsidP="00B320B8">
      <w:pPr>
        <w:pStyle w:val="2"/>
        <w:numPr>
          <w:ilvl w:val="0"/>
          <w:numId w:val="10"/>
        </w:numPr>
        <w:spacing w:line="360" w:lineRule="auto"/>
        <w:ind w:left="426"/>
      </w:pPr>
      <w:r w:rsidRPr="00D55765">
        <w:rPr>
          <w:b/>
        </w:rPr>
        <w:t>Време за реакция</w:t>
      </w:r>
      <w:r w:rsidR="00C75B26" w:rsidRPr="00C75B26">
        <w:t xml:space="preserve"> – да </w:t>
      </w:r>
      <w:r w:rsidR="00C75B26">
        <w:t>бъде определен времеви диапазон</w:t>
      </w:r>
      <w:r w:rsidR="001B674A">
        <w:t>,</w:t>
      </w:r>
      <w:r w:rsidR="00C75B26">
        <w:t xml:space="preserve"> в който </w:t>
      </w:r>
      <w:r w:rsidR="00E22529">
        <w:t>УЧАСТНИКЪТ</w:t>
      </w:r>
      <w:r w:rsidR="00C75B26">
        <w:t xml:space="preserve"> </w:t>
      </w:r>
      <w:r w:rsidR="00005210">
        <w:t>ще</w:t>
      </w:r>
      <w:r w:rsidR="001B674A">
        <w:t xml:space="preserve"> </w:t>
      </w:r>
      <w:r w:rsidR="00C75B26">
        <w:t xml:space="preserve"> отговори на уведомлението и </w:t>
      </w:r>
      <w:r w:rsidR="00005210">
        <w:t>ще</w:t>
      </w:r>
      <w:r w:rsidR="001B674A">
        <w:t xml:space="preserve"> </w:t>
      </w:r>
      <w:r w:rsidR="00C75B26">
        <w:t>започне действия по случая</w:t>
      </w:r>
      <w:r w:rsidR="008F7B61">
        <w:t>;</w:t>
      </w:r>
    </w:p>
    <w:p w14:paraId="7170B013" w14:textId="1569B237" w:rsidR="00C75B26" w:rsidRPr="003F36F4" w:rsidRDefault="00C75B26" w:rsidP="00B320B8">
      <w:pPr>
        <w:pStyle w:val="2"/>
        <w:numPr>
          <w:ilvl w:val="0"/>
          <w:numId w:val="10"/>
        </w:numPr>
        <w:spacing w:line="360" w:lineRule="auto"/>
        <w:ind w:left="426"/>
      </w:pPr>
      <w:r w:rsidRPr="003F36F4">
        <w:rPr>
          <w:b/>
        </w:rPr>
        <w:lastRenderedPageBreak/>
        <w:t>Работа по инцидент/проблем</w:t>
      </w:r>
      <w:r w:rsidRPr="003F36F4">
        <w:t xml:space="preserve">: при </w:t>
      </w:r>
      <w:r w:rsidR="00802B93">
        <w:t>завършване</w:t>
      </w:r>
      <w:r w:rsidR="00802B93" w:rsidRPr="003F36F4">
        <w:t xml:space="preserve"> </w:t>
      </w:r>
      <w:r w:rsidRPr="003F36F4">
        <w:t xml:space="preserve">на работата по инцидента/проблема да се </w:t>
      </w:r>
      <w:r w:rsidR="00802B93">
        <w:t xml:space="preserve">докладва </w:t>
      </w:r>
      <w:r w:rsidRPr="003F36F4">
        <w:t xml:space="preserve">какви </w:t>
      </w:r>
      <w:r w:rsidR="008F7B61" w:rsidRPr="003F36F4">
        <w:t xml:space="preserve">видове </w:t>
      </w:r>
      <w:r w:rsidRPr="003F36F4">
        <w:t xml:space="preserve">диагностични </w:t>
      </w:r>
      <w:r w:rsidR="00802B93">
        <w:t xml:space="preserve">и други </w:t>
      </w:r>
      <w:r w:rsidRPr="003F36F4">
        <w:t xml:space="preserve">дейности </w:t>
      </w:r>
      <w:r w:rsidR="00802B93">
        <w:t xml:space="preserve">са били </w:t>
      </w:r>
      <w:r w:rsidRPr="003F36F4">
        <w:t>извършени</w:t>
      </w:r>
      <w:r w:rsidR="008F7B61" w:rsidRPr="003F36F4">
        <w:t>;</w:t>
      </w:r>
    </w:p>
    <w:p w14:paraId="0B1FCE21" w14:textId="262CC69B" w:rsidR="00C75B26" w:rsidRPr="00C75B26" w:rsidRDefault="00C75B26" w:rsidP="0048743D">
      <w:pPr>
        <w:pStyle w:val="2"/>
        <w:numPr>
          <w:ilvl w:val="0"/>
          <w:numId w:val="10"/>
        </w:numPr>
        <w:spacing w:line="360" w:lineRule="auto"/>
        <w:ind w:left="426"/>
      </w:pPr>
      <w:r>
        <w:rPr>
          <w:b/>
        </w:rPr>
        <w:t xml:space="preserve">Срок </w:t>
      </w:r>
      <w:r w:rsidR="00C259DE">
        <w:rPr>
          <w:b/>
        </w:rPr>
        <w:t>за</w:t>
      </w:r>
      <w:r>
        <w:rPr>
          <w:b/>
        </w:rPr>
        <w:t xml:space="preserve"> решаване </w:t>
      </w:r>
      <w:r>
        <w:t xml:space="preserve">– работата по един случай се счита за </w:t>
      </w:r>
      <w:r w:rsidR="0005089B">
        <w:t xml:space="preserve">завършена </w:t>
      </w:r>
      <w:r>
        <w:t>след възстановяване на всички услуги в нормален режим на работа и документирането му.</w:t>
      </w:r>
      <w:r w:rsidR="008F7B61">
        <w:t xml:space="preserve"> </w:t>
      </w:r>
    </w:p>
    <w:p w14:paraId="56DE678D" w14:textId="3511F372" w:rsidR="00005210" w:rsidRPr="00005210" w:rsidRDefault="00D55765" w:rsidP="00C259DE">
      <w:pPr>
        <w:pStyle w:val="2"/>
        <w:numPr>
          <w:ilvl w:val="0"/>
          <w:numId w:val="10"/>
        </w:numPr>
        <w:spacing w:line="360" w:lineRule="auto"/>
        <w:ind w:left="426"/>
        <w:rPr>
          <w:b/>
        </w:rPr>
      </w:pPr>
      <w:r w:rsidRPr="00C259DE">
        <w:rPr>
          <w:b/>
        </w:rPr>
        <w:t>На място и дистанционно</w:t>
      </w:r>
      <w:r w:rsidR="00C75B26" w:rsidRPr="00C75B26">
        <w:t xml:space="preserve"> </w:t>
      </w:r>
      <w:r w:rsidR="00C75B26">
        <w:t>–</w:t>
      </w:r>
      <w:r w:rsidR="00005210">
        <w:t xml:space="preserve"> </w:t>
      </w:r>
      <w:r w:rsidR="00C75B26">
        <w:t xml:space="preserve">при </w:t>
      </w:r>
      <w:r w:rsidR="00C259DE">
        <w:t xml:space="preserve">необходимост </w:t>
      </w:r>
      <w:r w:rsidR="00E22529">
        <w:t>УЧАСТНИКЪТ</w:t>
      </w:r>
      <w:r w:rsidR="00C75B26">
        <w:t xml:space="preserve"> може да бъде повикан на място</w:t>
      </w:r>
      <w:r w:rsidR="00C259DE">
        <w:t xml:space="preserve"> и не може да откаже изпълнение, освен ако има техническа възможност работата по случая</w:t>
      </w:r>
      <w:r w:rsidR="00005210">
        <w:t xml:space="preserve"> да бъде извършена</w:t>
      </w:r>
      <w:r w:rsidR="00C259DE">
        <w:t xml:space="preserve"> неприсъствено/дистанционно.</w:t>
      </w:r>
    </w:p>
    <w:p w14:paraId="77DAD87C" w14:textId="664BBD60" w:rsidR="00D55765" w:rsidRDefault="00D55765" w:rsidP="00C259DE">
      <w:pPr>
        <w:pStyle w:val="2"/>
        <w:numPr>
          <w:ilvl w:val="0"/>
          <w:numId w:val="10"/>
        </w:numPr>
        <w:spacing w:line="360" w:lineRule="auto"/>
        <w:ind w:left="426"/>
      </w:pPr>
      <w:r w:rsidRPr="00C259DE">
        <w:rPr>
          <w:b/>
        </w:rPr>
        <w:t>Ескалиране</w:t>
      </w:r>
      <w:r w:rsidR="00C75B26" w:rsidRPr="00C75B26">
        <w:t xml:space="preserve"> – </w:t>
      </w:r>
      <w:r w:rsidR="00C75B26">
        <w:t xml:space="preserve">при невъзможност да възстанови услугата в установения срок </w:t>
      </w:r>
      <w:r w:rsidR="0048743D">
        <w:t>избраният ИЗПЪЛНИТЕЛ</w:t>
      </w:r>
      <w:r w:rsidR="00C75B26">
        <w:t xml:space="preserve"> уведомява веднага всички заинтересовани страни, включително и трети страни, които имат отношение към работата на услугата</w:t>
      </w:r>
      <w:r w:rsidR="008F7B61">
        <w:t xml:space="preserve">. </w:t>
      </w:r>
      <w:r w:rsidR="0048743D">
        <w:t xml:space="preserve">УЧАСТНИКЪТ следва да посочи </w:t>
      </w:r>
      <w:r w:rsidR="008F7B61">
        <w:t xml:space="preserve">механизмите за ескалация </w:t>
      </w:r>
      <w:bookmarkStart w:id="0" w:name="_GoBack"/>
      <w:bookmarkEnd w:id="0"/>
      <w:r w:rsidR="008F7B61">
        <w:t>и сроковете за реакция;</w:t>
      </w:r>
    </w:p>
    <w:p w14:paraId="21B0127F" w14:textId="67C663E9" w:rsidR="00094BA1" w:rsidRPr="00094BA1" w:rsidRDefault="00094BA1" w:rsidP="00B320B8">
      <w:pPr>
        <w:pStyle w:val="2"/>
        <w:numPr>
          <w:ilvl w:val="0"/>
          <w:numId w:val="10"/>
        </w:numPr>
        <w:spacing w:line="360" w:lineRule="auto"/>
        <w:ind w:left="426"/>
      </w:pPr>
      <w:r>
        <w:rPr>
          <w:b/>
        </w:rPr>
        <w:t>Документиране</w:t>
      </w:r>
      <w:r>
        <w:t xml:space="preserve"> </w:t>
      </w:r>
      <w:r w:rsidR="008F7B61">
        <w:t>–</w:t>
      </w:r>
      <w:r>
        <w:t xml:space="preserve"> веднага след възстановяване на услугата </w:t>
      </w:r>
      <w:r w:rsidR="0048743D">
        <w:t xml:space="preserve">избраният ИЗПЪЛНИТЕЛ </w:t>
      </w:r>
      <w:r>
        <w:t xml:space="preserve">изготвя </w:t>
      </w:r>
      <w:r w:rsidR="004729EA">
        <w:t xml:space="preserve">приемо-предавателен </w:t>
      </w:r>
      <w:r>
        <w:t xml:space="preserve">протокол, в който се вписва обективното състояние и се описват всички предприети действия. Протоколът се подписва от представителите на двете страни. Ако в процеса на възстановяване на услугата са идентифицирани проблеми, </w:t>
      </w:r>
      <w:r w:rsidR="0048743D">
        <w:t xml:space="preserve">избраният ИЗПЪЛНИТЕЛ </w:t>
      </w:r>
      <w:r>
        <w:t>съставя необходимите документи за тях</w:t>
      </w:r>
      <w:r w:rsidR="008F7B61">
        <w:t xml:space="preserve">. </w:t>
      </w:r>
      <w:r w:rsidR="0048743D">
        <w:t xml:space="preserve">УЧАСТНИКЪТ следва да приложи </w:t>
      </w:r>
      <w:r w:rsidR="008F7B61">
        <w:t>примерен протокол, съдържащ всички необходими</w:t>
      </w:r>
      <w:r w:rsidR="00A47B44">
        <w:t xml:space="preserve"> реквизити</w:t>
      </w:r>
      <w:r w:rsidR="008F7B61">
        <w:t>, който да е подходящ за работа в електронен вариант и на хартия;</w:t>
      </w:r>
    </w:p>
    <w:sectPr w:rsidR="00094BA1" w:rsidRPr="00094BA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1A05D" w14:textId="77777777" w:rsidR="00DF259A" w:rsidRDefault="00DF259A" w:rsidP="00826C47">
      <w:pPr>
        <w:spacing w:before="0" w:after="0"/>
      </w:pPr>
      <w:r>
        <w:separator/>
      </w:r>
    </w:p>
  </w:endnote>
  <w:endnote w:type="continuationSeparator" w:id="0">
    <w:p w14:paraId="051E51C3" w14:textId="77777777" w:rsidR="00DF259A" w:rsidRDefault="00DF259A" w:rsidP="00826C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8AC6F" w14:textId="77777777" w:rsidR="00DF259A" w:rsidRDefault="00DF259A" w:rsidP="00826C47">
      <w:pPr>
        <w:spacing w:before="0" w:after="0"/>
      </w:pPr>
      <w:r>
        <w:separator/>
      </w:r>
    </w:p>
  </w:footnote>
  <w:footnote w:type="continuationSeparator" w:id="0">
    <w:p w14:paraId="23E2B785" w14:textId="77777777" w:rsidR="00DF259A" w:rsidRDefault="00DF259A" w:rsidP="00826C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25820" w14:textId="74C00EB0" w:rsidR="00826C47" w:rsidRPr="00826C47" w:rsidRDefault="00826C47">
    <w:pPr>
      <w:pStyle w:val="Header"/>
      <w:rPr>
        <w:i/>
      </w:rPr>
    </w:pPr>
    <w:r>
      <w:t xml:space="preserve">                                                                                                                  </w:t>
    </w:r>
    <w:r w:rsidRPr="00826C47">
      <w:rPr>
        <w:i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9B34C4"/>
    <w:multiLevelType w:val="hybridMultilevel"/>
    <w:tmpl w:val="F780B46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0A3220"/>
    <w:multiLevelType w:val="hybridMultilevel"/>
    <w:tmpl w:val="7F961C50"/>
    <w:lvl w:ilvl="0" w:tplc="0402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CC516BB"/>
    <w:multiLevelType w:val="hybridMultilevel"/>
    <w:tmpl w:val="5E94C186"/>
    <w:lvl w:ilvl="0" w:tplc="24F8C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F49083E"/>
    <w:multiLevelType w:val="hybridMultilevel"/>
    <w:tmpl w:val="A3CC7818"/>
    <w:lvl w:ilvl="0" w:tplc="6080839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535D51"/>
    <w:multiLevelType w:val="hybridMultilevel"/>
    <w:tmpl w:val="523AE8AE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FD362CE"/>
    <w:multiLevelType w:val="hybridMultilevel"/>
    <w:tmpl w:val="9788C276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3DD64B8"/>
    <w:multiLevelType w:val="hybridMultilevel"/>
    <w:tmpl w:val="7772B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A79AA"/>
    <w:multiLevelType w:val="hybridMultilevel"/>
    <w:tmpl w:val="A01CC68C"/>
    <w:lvl w:ilvl="0" w:tplc="6080839C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A9A55F9"/>
    <w:multiLevelType w:val="hybridMultilevel"/>
    <w:tmpl w:val="9AB6DEAE"/>
    <w:lvl w:ilvl="0" w:tplc="0402000B">
      <w:start w:val="1"/>
      <w:numFmt w:val="bullet"/>
      <w:lvlText w:val=""/>
      <w:lvlJc w:val="left"/>
      <w:pPr>
        <w:ind w:left="129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1" w15:restartNumberingAfterBreak="0">
    <w:nsid w:val="738632D9"/>
    <w:multiLevelType w:val="hybridMultilevel"/>
    <w:tmpl w:val="E2BE3D9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"/>
  </w:num>
  <w:num w:numId="5">
    <w:abstractNumId w:val="0"/>
  </w:num>
  <w:num w:numId="6">
    <w:abstractNumId w:val="10"/>
  </w:num>
  <w:num w:numId="7">
    <w:abstractNumId w:val="0"/>
  </w:num>
  <w:num w:numId="8">
    <w:abstractNumId w:val="0"/>
  </w:num>
  <w:num w:numId="9">
    <w:abstractNumId w:val="5"/>
  </w:num>
  <w:num w:numId="10">
    <w:abstractNumId w:val="7"/>
  </w:num>
  <w:num w:numId="11">
    <w:abstractNumId w:val="0"/>
  </w:num>
  <w:num w:numId="12">
    <w:abstractNumId w:val="4"/>
  </w:num>
  <w:num w:numId="13">
    <w:abstractNumId w:val="3"/>
  </w:num>
  <w:num w:numId="14">
    <w:abstractNumId w:val="9"/>
  </w:num>
  <w:num w:numId="15">
    <w:abstractNumId w:val="0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293"/>
    <w:rsid w:val="00005210"/>
    <w:rsid w:val="00041E8C"/>
    <w:rsid w:val="0005089B"/>
    <w:rsid w:val="00094BA1"/>
    <w:rsid w:val="000D4AD6"/>
    <w:rsid w:val="000E224D"/>
    <w:rsid w:val="00107FC3"/>
    <w:rsid w:val="00117C33"/>
    <w:rsid w:val="0018603B"/>
    <w:rsid w:val="0019590E"/>
    <w:rsid w:val="001B674A"/>
    <w:rsid w:val="00284452"/>
    <w:rsid w:val="002C782E"/>
    <w:rsid w:val="00311293"/>
    <w:rsid w:val="00362DF8"/>
    <w:rsid w:val="003B282E"/>
    <w:rsid w:val="003D0ADF"/>
    <w:rsid w:val="003F36F4"/>
    <w:rsid w:val="003F5BAF"/>
    <w:rsid w:val="00443D5C"/>
    <w:rsid w:val="004729EA"/>
    <w:rsid w:val="0048743D"/>
    <w:rsid w:val="004B0CCD"/>
    <w:rsid w:val="00517E55"/>
    <w:rsid w:val="005222AE"/>
    <w:rsid w:val="005633B7"/>
    <w:rsid w:val="00574D2A"/>
    <w:rsid w:val="005E3280"/>
    <w:rsid w:val="005E607B"/>
    <w:rsid w:val="00614667"/>
    <w:rsid w:val="006A0BCC"/>
    <w:rsid w:val="006E69FE"/>
    <w:rsid w:val="006F45ED"/>
    <w:rsid w:val="00707EFE"/>
    <w:rsid w:val="007E783D"/>
    <w:rsid w:val="00802B93"/>
    <w:rsid w:val="00826C47"/>
    <w:rsid w:val="008334A1"/>
    <w:rsid w:val="00874ABB"/>
    <w:rsid w:val="0089004C"/>
    <w:rsid w:val="008F7693"/>
    <w:rsid w:val="008F7B61"/>
    <w:rsid w:val="00920D45"/>
    <w:rsid w:val="009F6585"/>
    <w:rsid w:val="00A47B44"/>
    <w:rsid w:val="00A93E00"/>
    <w:rsid w:val="00AD266D"/>
    <w:rsid w:val="00B320B8"/>
    <w:rsid w:val="00BE53B8"/>
    <w:rsid w:val="00C02E45"/>
    <w:rsid w:val="00C12E43"/>
    <w:rsid w:val="00C259DE"/>
    <w:rsid w:val="00C75B26"/>
    <w:rsid w:val="00CC0D75"/>
    <w:rsid w:val="00CE5CDE"/>
    <w:rsid w:val="00D4493A"/>
    <w:rsid w:val="00D55765"/>
    <w:rsid w:val="00D77D72"/>
    <w:rsid w:val="00D975ED"/>
    <w:rsid w:val="00DC7F9E"/>
    <w:rsid w:val="00DF259A"/>
    <w:rsid w:val="00DF2759"/>
    <w:rsid w:val="00E22529"/>
    <w:rsid w:val="00E63917"/>
    <w:rsid w:val="00EB1FB2"/>
    <w:rsid w:val="00F7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A5C12"/>
  <w15:chartTrackingRefBased/>
  <w15:docId w15:val="{A0059CF5-6656-40B4-9451-B9C476A5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D5C"/>
    <w:pPr>
      <w:spacing w:before="120" w:after="120"/>
      <w:ind w:firstLine="709"/>
      <w:jc w:val="both"/>
    </w:pPr>
    <w:rPr>
      <w:rFonts w:ascii="Times New Roman" w:hAnsi="Times New Roman"/>
      <w:sz w:val="24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11293"/>
    <w:pPr>
      <w:spacing w:after="0"/>
      <w:ind w:left="720" w:firstLine="567"/>
      <w:contextualSpacing/>
    </w:pPr>
    <w:rPr>
      <w:rFonts w:eastAsia="Times New Roman"/>
      <w:szCs w:val="20"/>
      <w:lang w:eastAsia="bg-BG"/>
    </w:rPr>
  </w:style>
  <w:style w:type="paragraph" w:customStyle="1" w:styleId="1">
    <w:name w:val="Заглавие 1"/>
    <w:basedOn w:val="Normal"/>
    <w:rsid w:val="000D4AD6"/>
    <w:pPr>
      <w:numPr>
        <w:numId w:val="5"/>
      </w:numPr>
    </w:pPr>
  </w:style>
  <w:style w:type="paragraph" w:customStyle="1" w:styleId="2">
    <w:name w:val="Заглавие 2"/>
    <w:basedOn w:val="Normal"/>
    <w:rsid w:val="000D4AD6"/>
    <w:pPr>
      <w:numPr>
        <w:ilvl w:val="1"/>
        <w:numId w:val="5"/>
      </w:numPr>
    </w:pPr>
  </w:style>
  <w:style w:type="paragraph" w:customStyle="1" w:styleId="3">
    <w:name w:val="Заглавие 3"/>
    <w:basedOn w:val="Normal"/>
    <w:rsid w:val="000D4AD6"/>
    <w:pPr>
      <w:numPr>
        <w:ilvl w:val="2"/>
        <w:numId w:val="5"/>
      </w:numPr>
    </w:pPr>
  </w:style>
  <w:style w:type="paragraph" w:customStyle="1" w:styleId="4">
    <w:name w:val="Заглавие 4"/>
    <w:basedOn w:val="Normal"/>
    <w:rsid w:val="000D4AD6"/>
    <w:pPr>
      <w:numPr>
        <w:ilvl w:val="3"/>
        <w:numId w:val="5"/>
      </w:numPr>
    </w:pPr>
  </w:style>
  <w:style w:type="paragraph" w:customStyle="1" w:styleId="5">
    <w:name w:val="Заглавие 5"/>
    <w:basedOn w:val="Normal"/>
    <w:rsid w:val="000D4AD6"/>
    <w:pPr>
      <w:numPr>
        <w:ilvl w:val="4"/>
        <w:numId w:val="5"/>
      </w:numPr>
    </w:pPr>
  </w:style>
  <w:style w:type="paragraph" w:customStyle="1" w:styleId="6">
    <w:name w:val="Заглавие 6"/>
    <w:basedOn w:val="Normal"/>
    <w:rsid w:val="000D4AD6"/>
    <w:pPr>
      <w:numPr>
        <w:ilvl w:val="5"/>
        <w:numId w:val="5"/>
      </w:numPr>
    </w:pPr>
  </w:style>
  <w:style w:type="paragraph" w:customStyle="1" w:styleId="7">
    <w:name w:val="Заглавие 7"/>
    <w:basedOn w:val="Normal"/>
    <w:rsid w:val="000D4AD6"/>
    <w:pPr>
      <w:numPr>
        <w:ilvl w:val="6"/>
        <w:numId w:val="5"/>
      </w:numPr>
    </w:pPr>
  </w:style>
  <w:style w:type="paragraph" w:customStyle="1" w:styleId="8">
    <w:name w:val="Заглавие 8"/>
    <w:basedOn w:val="Normal"/>
    <w:rsid w:val="000D4AD6"/>
    <w:pPr>
      <w:numPr>
        <w:ilvl w:val="7"/>
        <w:numId w:val="5"/>
      </w:numPr>
    </w:pPr>
  </w:style>
  <w:style w:type="paragraph" w:customStyle="1" w:styleId="9">
    <w:name w:val="Заглавие 9"/>
    <w:basedOn w:val="Normal"/>
    <w:rsid w:val="000D4AD6"/>
    <w:pPr>
      <w:numPr>
        <w:ilvl w:val="8"/>
        <w:numId w:val="5"/>
      </w:numPr>
    </w:pPr>
  </w:style>
  <w:style w:type="character" w:styleId="Hyperlink">
    <w:name w:val="Hyperlink"/>
    <w:uiPriority w:val="99"/>
    <w:unhideWhenUsed/>
    <w:rsid w:val="00443D5C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443D5C"/>
    <w:rPr>
      <w:color w:val="954F7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9D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259DE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uiPriority w:val="99"/>
    <w:semiHidden/>
    <w:unhideWhenUsed/>
    <w:rsid w:val="00DC7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7F9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C7F9E"/>
    <w:rPr>
      <w:rFonts w:ascii="Times New Roman" w:hAnsi="Times New Roman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7F9E"/>
    <w:rPr>
      <w:rFonts w:ascii="Times New Roman" w:hAnsi="Times New Roman"/>
      <w:b/>
      <w:bCs/>
      <w:lang w:val="bg-BG"/>
    </w:rPr>
  </w:style>
  <w:style w:type="paragraph" w:styleId="Header">
    <w:name w:val="header"/>
    <w:basedOn w:val="Normal"/>
    <w:link w:val="HeaderChar"/>
    <w:uiPriority w:val="99"/>
    <w:unhideWhenUsed/>
    <w:rsid w:val="00826C47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826C47"/>
    <w:rPr>
      <w:rFonts w:ascii="Times New Roman" w:hAnsi="Times New Roman"/>
      <w:sz w:val="24"/>
      <w:szCs w:val="22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826C47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826C47"/>
    <w:rPr>
      <w:rFonts w:ascii="Times New Roman" w:hAnsi="Times New Roman"/>
      <w:sz w:val="24"/>
      <w:szCs w:val="22"/>
      <w:lang w:val="bg-BG"/>
    </w:rPr>
  </w:style>
  <w:style w:type="character" w:customStyle="1" w:styleId="ListParagraphChar">
    <w:name w:val="List Paragraph Char"/>
    <w:link w:val="ListParagraph"/>
    <w:uiPriority w:val="34"/>
    <w:locked/>
    <w:rsid w:val="00F743F5"/>
    <w:rPr>
      <w:rFonts w:ascii="Times New Roman" w:eastAsia="Times New Roman" w:hAnsi="Times New Roman"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.com/~/media/files/ServicesBriefs/CA-Support-Overview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upport.ca.com/phpdocs/0/common/working_with_ca_support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upport.ca.com/phpdocs/0/common/techsupp_policy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4CB0-1DBD-4950-8DB3-77633456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5056</CharactersWithSpaces>
  <SharedDoc>false</SharedDoc>
  <HLinks>
    <vt:vector size="18" baseType="variant">
      <vt:variant>
        <vt:i4>7340040</vt:i4>
      </vt:variant>
      <vt:variant>
        <vt:i4>6</vt:i4>
      </vt:variant>
      <vt:variant>
        <vt:i4>0</vt:i4>
      </vt:variant>
      <vt:variant>
        <vt:i4>5</vt:i4>
      </vt:variant>
      <vt:variant>
        <vt:lpwstr>https://support.ca.com/phpdocs/0/common/working_with_ca_support.pdf</vt:lpwstr>
      </vt:variant>
      <vt:variant>
        <vt:lpwstr/>
      </vt:variant>
      <vt:variant>
        <vt:i4>7864338</vt:i4>
      </vt:variant>
      <vt:variant>
        <vt:i4>3</vt:i4>
      </vt:variant>
      <vt:variant>
        <vt:i4>0</vt:i4>
      </vt:variant>
      <vt:variant>
        <vt:i4>5</vt:i4>
      </vt:variant>
      <vt:variant>
        <vt:lpwstr>https://support.ca.com/phpdocs/0/common/techsupp_policy.pdf</vt:lpwstr>
      </vt:variant>
      <vt:variant>
        <vt:lpwstr/>
      </vt:variant>
      <vt:variant>
        <vt:i4>7733301</vt:i4>
      </vt:variant>
      <vt:variant>
        <vt:i4>0</vt:i4>
      </vt:variant>
      <vt:variant>
        <vt:i4>0</vt:i4>
      </vt:variant>
      <vt:variant>
        <vt:i4>5</vt:i4>
      </vt:variant>
      <vt:variant>
        <vt:lpwstr>http://www.ca.com/~/media/files/ServicesBriefs/CA-Support-Overview.pdf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Пламена Павлова</cp:lastModifiedBy>
  <cp:revision>21</cp:revision>
  <cp:lastPrinted>2017-08-14T08:41:00Z</cp:lastPrinted>
  <dcterms:created xsi:type="dcterms:W3CDTF">2017-07-06T08:12:00Z</dcterms:created>
  <dcterms:modified xsi:type="dcterms:W3CDTF">2017-08-17T13:31:00Z</dcterms:modified>
</cp:coreProperties>
</file>